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404764</w:t>
      </w:r>
      <w:bookmarkStart w:id="0" w:name="_GoBack"/>
      <w:bookmarkEnd w:id="0"/>
    </w:p>
    <w:p>
      <w:pPr>
        <w:tabs>
          <w:tab w:val="left" w:pos="420"/>
          <w:tab w:val="left" w:pos="840"/>
          <w:tab w:val="left" w:pos="1260"/>
          <w:tab w:val="left" w:pos="1680"/>
          <w:tab w:val="left" w:pos="2100"/>
          <w:tab w:val="left" w:pos="2520"/>
        </w:tabs>
        <w:jc w:val="both"/>
        <w:rPr>
          <w:rFonts w:hint="eastAsia" w:ascii="Arial" w:hAnsi="Arial" w:eastAsia="宋体" w:cs="Arial"/>
          <w:b/>
          <w:sz w:val="24"/>
          <w:szCs w:val="24"/>
          <w:highlight w:val="none"/>
          <w:lang w:val="en-US"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19</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hint="eastAsia" w:ascii="Arial" w:hAnsi="Arial" w:eastAsia="宋体" w:cs="Arial"/>
          <w:b/>
          <w:sz w:val="24"/>
          <w:szCs w:val="24"/>
          <w:highlight w:val="none"/>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6.5.1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Around Case 1 in the WI, some discussion focused on the UE features were held during 110 meeting, and the potential UE features for Case 1 were captured in [1]. Besides the issue of UE features, still some remaining issues need to be decided. In this paper, we provide our views on these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[Scenario 4] When one pre-configured MG deactivation procedure is overlapped with another pre-configured MG activation procedure during the dynamic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In last meeting, warmly discussion were held regarding the Scenario 2 and 3, and the agreements consistent with Scenario 1 were approved. Until now, the Scenario 1, 2 and 3 have all been addressed, only Scenario 4 is remaining. Furthermore, it should be noted that the Scenario 4 is for the case of Pre-MG + Pre-MG, rather than Pre-MG + type1/2 MG.</w:t>
      </w:r>
    </w:p>
    <w:p>
      <w:pPr>
        <w:keepNext w:val="0"/>
        <w:keepLines w:val="0"/>
        <w:pageBreakBefore w:val="0"/>
        <w:widowControl w:val="0"/>
        <w:kinsoku/>
        <w:wordWrap/>
        <w:overflowPunct/>
        <w:topLinePunct w:val="0"/>
        <w:autoSpaceDE/>
        <w:autoSpaceDN/>
        <w:bidi w:val="0"/>
        <w:adjustRightInd/>
        <w:snapToGrid/>
        <w:rPr>
          <w:b/>
          <w:i/>
          <w:iCs/>
          <w:lang w:eastAsia="zh-CN"/>
        </w:rPr>
      </w:pPr>
      <w:r>
        <w:rPr>
          <w:b/>
          <w:i/>
          <w:iCs/>
          <w:lang w:eastAsia="zh-CN"/>
        </w:rPr>
        <w:t>Background:</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rFonts w:hint="eastAsia" w:eastAsia="宋体"/>
          <w:i/>
          <w:iCs/>
          <w:lang w:val="en-US" w:eastAsia="zh-CN"/>
        </w:rPr>
      </w:pPr>
      <w:r>
        <w:rPr>
          <w:i/>
          <w:iCs/>
          <w:lang w:eastAsia="zh-CN"/>
        </w:rPr>
        <w:t xml:space="preserve">Scenario 4: One pre-configured MG </w:t>
      </w:r>
      <w:r>
        <w:rPr>
          <w:b/>
          <w:bCs/>
          <w:i/>
          <w:iCs/>
          <w:lang w:eastAsia="zh-CN"/>
        </w:rPr>
        <w:t>deactivation</w:t>
      </w:r>
      <w:r>
        <w:rPr>
          <w:i/>
          <w:iCs/>
          <w:lang w:eastAsia="zh-CN"/>
        </w:rPr>
        <w:t xml:space="preserve"> procedure is overlapped with another pre-configured MG </w:t>
      </w:r>
      <w:r>
        <w:rPr>
          <w:b/>
          <w:bCs/>
          <w:i/>
          <w:iCs/>
          <w:lang w:eastAsia="zh-CN"/>
        </w:rPr>
        <w:t>activation</w:t>
      </w:r>
      <w:r>
        <w:rPr>
          <w:i/>
          <w:iCs/>
          <w:lang w:eastAsia="zh-CN"/>
        </w:rPr>
        <w:t xml:space="preserve"> procedure during the dynamic collision (This scenario is for Pre-MG + Pre-MG).</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i/>
          <w:iCs/>
        </w:rPr>
      </w:pPr>
      <w:r>
        <w:rPr>
          <w:rFonts w:eastAsia="Times New Roman"/>
          <w:i/>
          <w:iCs/>
          <w:lang w:eastAsia="zh-CN"/>
        </w:rPr>
        <w:t>NW configures Pre-MG1 associated with BWP-1 and Pre-MG2 associated with BWP-2.</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i/>
          <w:iCs/>
        </w:rPr>
      </w:pPr>
      <w:r>
        <w:rPr>
          <w:rFonts w:eastAsia="Times New Roman"/>
          <w:i/>
          <w:iCs/>
          <w:lang w:eastAsia="zh-CN"/>
        </w:rPr>
        <w:t>When UE switches the active DL BWP from BWP-1 to BWP-2, the SSB1 associated with BWP-1 will be outside the active BWP-2, but the SSB2 associated with BWP-2 will be within the active DL BWP. The Pre-MG1 will be activated and the Pre-MG2 will be deactivated.</w:t>
      </w:r>
    </w:p>
    <w:p>
      <w:pPr>
        <w:pStyle w:val="8"/>
        <w:rPr>
          <w:rFonts w:hint="default" w:eastAsia="宋体"/>
          <w:color w:val="auto"/>
          <w:sz w:val="20"/>
          <w:szCs w:val="20"/>
          <w:lang w:val="en-US" w:eastAsia="zh-CN"/>
        </w:rPr>
      </w:pPr>
      <w:r>
        <w:rPr>
          <w:rFonts w:hint="eastAsia" w:eastAsia="宋体"/>
          <w:color w:val="auto"/>
          <w:sz w:val="20"/>
          <w:szCs w:val="20"/>
          <w:lang w:val="en-US" w:eastAsia="zh-CN"/>
        </w:rPr>
        <w:t xml:space="preserve">This issue is a mixture between the dynamic collision and the fully overlapping with multiple activation/deactivation procedures(since partially overlapping is approved to not consider any more). To our understanding, after applying the decision below for simultaneous multiple Pre-MG activation/deactivation procedures, then the ending point of the parallel activation/deactivation procedures are determined. The new statuses of the two Pre-MGs are valid from this ending point, then the dropping rule can be applied from this ending point for all the activated Pre-MGs.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120" w:afterLines="50" w:line="240" w:lineRule="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numPr>
                <w:ilvl w:val="1"/>
                <w:numId w:val="3"/>
              </w:numPr>
              <w:autoSpaceDE w:val="0"/>
              <w:autoSpaceDN w:val="0"/>
              <w:adjustRightInd w:val="0"/>
              <w:spacing w:after="120" w:line="240" w:lineRule="auto"/>
              <w:ind w:firstLineChars="0"/>
              <w:rPr>
                <w:szCs w:val="24"/>
                <w:lang w:eastAsia="zh-CN"/>
              </w:rPr>
            </w:pPr>
            <w:r>
              <w:rPr>
                <w:color w:val="000000"/>
                <w:szCs w:val="24"/>
                <w:lang w:eastAsia="zh-CN"/>
              </w:rPr>
              <w:t>The fully overlapped simultaneous multiple Pre-MGs activation/deactivation delay equals the BWPs/SCells/RRC reconfiguration delay</w:t>
            </w:r>
            <w:r>
              <w:t xml:space="preserve"> </w:t>
            </w:r>
            <w:r>
              <w:rPr>
                <w:color w:val="000000"/>
                <w:szCs w:val="24"/>
                <w:lang w:eastAsia="zh-CN"/>
              </w:rPr>
              <w:t>plus existing processing time (5ms) plus the additional post-processing time T1, where T1 value is FFS</w:t>
            </w:r>
            <w:r>
              <w:rPr>
                <w:szCs w:val="24"/>
                <w:lang w:eastAsia="zh-CN"/>
              </w:rPr>
              <w:t xml:space="preserve">. </w:t>
            </w:r>
          </w:p>
          <w:p>
            <w:pPr>
              <w:pStyle w:val="29"/>
              <w:numPr>
                <w:ilvl w:val="1"/>
                <w:numId w:val="3"/>
              </w:numPr>
              <w:autoSpaceDE w:val="0"/>
              <w:autoSpaceDN w:val="0"/>
              <w:adjustRightInd w:val="0"/>
              <w:spacing w:after="120" w:line="240" w:lineRule="auto"/>
              <w:ind w:firstLineChars="0"/>
              <w:rPr>
                <w:szCs w:val="24"/>
                <w:lang w:eastAsia="zh-CN"/>
              </w:rPr>
            </w:pPr>
            <w:r>
              <w:rPr>
                <w:szCs w:val="24"/>
                <w:lang w:eastAsia="zh-CN"/>
              </w:rPr>
              <w:t>An illustration example is captured below:</w:t>
            </w:r>
          </w:p>
          <w:p>
            <w:pPr>
              <w:pStyle w:val="29"/>
              <w:autoSpaceDE w:val="0"/>
              <w:autoSpaceDN w:val="0"/>
              <w:adjustRightInd w:val="0"/>
              <w:spacing w:after="120" w:line="240" w:lineRule="auto"/>
              <w:ind w:firstLineChars="0"/>
              <w:jc w:val="center"/>
              <w:rPr>
                <w:color w:val="000000"/>
                <w:szCs w:val="24"/>
                <w:lang w:eastAsia="zh-CN"/>
              </w:rPr>
            </w:pPr>
            <w:r>
              <w:rPr>
                <w:color w:val="000000"/>
                <w:szCs w:val="24"/>
                <w:lang w:eastAsia="zh-CN"/>
              </w:rPr>
              <w:drawing>
                <wp:inline distT="0" distB="0" distL="114300" distR="114300">
                  <wp:extent cx="3655695" cy="1212850"/>
                  <wp:effectExtent l="0" t="0" r="1905" b="0"/>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5"/>
                          <a:stretch>
                            <a:fillRect/>
                          </a:stretch>
                        </pic:blipFill>
                        <pic:spPr>
                          <a:xfrm>
                            <a:off x="0" y="0"/>
                            <a:ext cx="3655695" cy="1212850"/>
                          </a:xfrm>
                          <a:prstGeom prst="rect">
                            <a:avLst/>
                          </a:prstGeom>
                          <a:noFill/>
                          <a:ln>
                            <a:noFill/>
                          </a:ln>
                        </pic:spPr>
                      </pic:pic>
                    </a:graphicData>
                  </a:graphic>
                </wp:inline>
              </w:drawing>
            </w:r>
          </w:p>
          <w:p>
            <w:pPr>
              <w:keepNext w:val="0"/>
              <w:keepLines w:val="0"/>
              <w:pageBreakBefore w:val="0"/>
              <w:widowControl w:val="0"/>
              <w:kinsoku/>
              <w:wordWrap/>
              <w:topLinePunct w:val="0"/>
              <w:autoSpaceDE w:val="0"/>
              <w:autoSpaceDN w:val="0"/>
              <w:bidi w:val="0"/>
              <w:adjustRightInd w:val="0"/>
              <w:snapToGrid/>
              <w:spacing w:after="0" w:line="240" w:lineRule="auto"/>
              <w:textAlignment w:val="auto"/>
              <w:rPr>
                <w:lang w:eastAsia="zh-CN"/>
              </w:rPr>
            </w:pPr>
            <w:r>
              <w:rPr>
                <w:b/>
                <w:lang w:eastAsia="zh-CN"/>
              </w:rPr>
              <w:t xml:space="preserve">&lt; </w:t>
            </w:r>
            <w:r>
              <w:rPr>
                <w:b/>
                <w:highlight w:val="green"/>
                <w:lang w:eastAsia="zh-CN"/>
              </w:rPr>
              <w:t xml:space="preserve">Agreement </w:t>
            </w:r>
            <w:r>
              <w:rPr>
                <w:b/>
                <w:lang w:eastAsia="zh-CN"/>
              </w:rPr>
              <w:t>from online session&gt;</w:t>
            </w:r>
            <w:r>
              <w:rPr>
                <w:lang w:eastAsia="zh-CN"/>
              </w:rPr>
              <w:t xml:space="preserve">:  </w:t>
            </w:r>
          </w:p>
          <w:p>
            <w:pPr>
              <w:keepNext w:val="0"/>
              <w:keepLines w:val="0"/>
              <w:pageBreakBefore w:val="0"/>
              <w:widowControl w:val="0"/>
              <w:kinsoku/>
              <w:wordWrap/>
              <w:topLinePunct w:val="0"/>
              <w:autoSpaceDE w:val="0"/>
              <w:autoSpaceDN w:val="0"/>
              <w:bidi w:val="0"/>
              <w:adjustRightInd w:val="0"/>
              <w:snapToGrid/>
              <w:spacing w:after="0" w:line="240" w:lineRule="auto"/>
              <w:ind w:left="568"/>
              <w:textAlignment w:val="auto"/>
              <w:rPr>
                <w:bCs/>
                <w:lang w:val="en-US"/>
              </w:rPr>
            </w:pPr>
            <w:r>
              <w:rPr>
                <w:bCs/>
                <w:lang w:val="en-US"/>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pPr>
              <w:pStyle w:val="29"/>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1332" w:firstLineChars="0"/>
              <w:textAlignment w:val="auto"/>
              <w:rPr>
                <w:color w:val="000000"/>
                <w:szCs w:val="24"/>
                <w:lang w:eastAsia="zh-CN"/>
              </w:rPr>
            </w:pPr>
            <w:r>
              <w:rPr>
                <w:rFonts w:eastAsia="PMingLiU"/>
                <w:bCs/>
                <w:lang w:eastAsia="zh-TW"/>
              </w:rPr>
              <w:t>T1 = 2ms.</w:t>
            </w:r>
            <w:r>
              <w:rPr>
                <w:rFonts w:hint="eastAsia" w:eastAsia="宋体"/>
                <w:bCs/>
                <w:lang w:val="en-US" w:eastAsia="zh-CN"/>
              </w:rPr>
              <w:t xml:space="preserve"> </w:t>
            </w:r>
          </w:p>
          <w:p>
            <w:pPr>
              <w:pStyle w:val="29"/>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1332" w:firstLineChars="0"/>
              <w:textAlignment w:val="auto"/>
              <w:rPr>
                <w:rFonts w:hint="default" w:eastAsia="宋体"/>
                <w:b w:val="0"/>
                <w:bCs w:val="0"/>
                <w:color w:val="auto"/>
                <w:sz w:val="20"/>
                <w:szCs w:val="20"/>
                <w:u w:val="single"/>
                <w:vertAlign w:val="baseline"/>
                <w:lang w:val="en-US" w:eastAsia="zh-CN"/>
              </w:rPr>
            </w:pPr>
            <w:r>
              <w:rPr>
                <w:rFonts w:eastAsia="PMingLiU"/>
                <w:bCs/>
                <w:lang w:eastAsia="zh-TW"/>
              </w:rPr>
              <w:t>FFS if this activation delay collide with existing gaps</w:t>
            </w:r>
          </w:p>
        </w:tc>
      </w:tr>
    </w:tbl>
    <w:p>
      <w:pPr>
        <w:pStyle w:val="8"/>
        <w:rPr>
          <w:rFonts w:hint="eastAsia" w:eastAsia="宋体"/>
          <w:lang w:val="en-US" w:eastAsia="zh-CN"/>
        </w:rPr>
      </w:pPr>
      <w:r>
        <w:rPr>
          <w:rFonts w:hint="eastAsia" w:eastAsia="宋体"/>
          <w:lang w:val="en-US" w:eastAsia="zh-CN"/>
        </w:rPr>
        <w:t>So the Pre-MG#2 occasion would be kept and no impacted by the Pre-MG#1 occasion since the Pre-MG#1 has been deactivated from the time point of T. Therefore, it seems no need to consider the conclusion defined for dynamic collision of Scenario 1/2/3 in which the activation/deactivation were postponed through another principle.</w:t>
      </w:r>
    </w:p>
    <w:p>
      <w:pPr>
        <w:pStyle w:val="8"/>
        <w:rPr>
          <w:rFonts w:hint="default" w:eastAsia="宋体"/>
          <w:lang w:val="en-US" w:eastAsia="zh-CN"/>
        </w:rPr>
      </w:pPr>
      <w:r>
        <w:rPr>
          <w:rFonts w:hint="eastAsia" w:eastAsia="宋体"/>
          <w:lang w:val="en-US" w:eastAsia="zh-CN"/>
        </w:rPr>
        <w:t>No need to consider the dynamic collision under the partially overlapping case since which has been decided to not consider any more.</w:t>
      </w:r>
    </w:p>
    <w:p>
      <w:pPr>
        <w:pStyle w:val="8"/>
      </w:pPr>
      <w:r>
        <w:drawing>
          <wp:inline distT="0" distB="0" distL="114300" distR="114300">
            <wp:extent cx="5318760" cy="15849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18760" cy="1584960"/>
                    </a:xfrm>
                    <a:prstGeom prst="rect">
                      <a:avLst/>
                    </a:prstGeom>
                    <a:noFill/>
                    <a:ln>
                      <a:noFill/>
                    </a:ln>
                  </pic:spPr>
                </pic:pic>
              </a:graphicData>
            </a:graphic>
          </wp:inline>
        </w:drawing>
      </w:r>
    </w:p>
    <w:p>
      <w:pPr>
        <w:pStyle w:val="8"/>
        <w:jc w:val="center"/>
        <w:rPr>
          <w:rFonts w:hint="default" w:eastAsia="宋体"/>
          <w:lang w:val="en-US" w:eastAsia="zh-CN"/>
        </w:rPr>
      </w:pPr>
      <w:r>
        <w:rPr>
          <w:rFonts w:hint="eastAsia" w:eastAsia="宋体"/>
          <w:lang w:val="en-US" w:eastAsia="zh-CN"/>
        </w:rPr>
        <w:t>Figure 1. An example for Scenario 4</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partially overlapping between multiple Pre-MG activation/deactivation procedures has been decided to not consider any more.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Scenario 4, directly apply the agreements decided for the fully simultaneous multiple Pre-MG activation/deactivation is fine, no need to touch the agreements for dynamic collision of Scenario 1/2/3, i.e.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new status of two Pre-MG are applied after the extended T1;</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dropping rule is only applicable for the activated status of Pre-MG.</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ko-KR"/>
        </w:rPr>
        <w:t>Pre-MG association clarification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During previous meeting, some companies proposed this issue, the following option were suggested: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29"/>
              <w:numPr>
                <w:ilvl w:val="0"/>
                <w:numId w:val="3"/>
              </w:numPr>
              <w:overflowPunct/>
              <w:autoSpaceDE/>
              <w:autoSpaceDN/>
              <w:adjustRightInd/>
              <w:spacing w:after="120"/>
              <w:ind w:left="516" w:leftChars="0" w:hanging="360" w:firstLineChars="0"/>
              <w:textAlignment w:val="auto"/>
              <w:rPr>
                <w:rFonts w:eastAsia="宋体"/>
                <w:szCs w:val="24"/>
                <w:lang w:eastAsia="zh-CN"/>
              </w:rPr>
            </w:pPr>
            <w:r>
              <w:rPr>
                <w:rFonts w:eastAsia="宋体"/>
                <w:szCs w:val="24"/>
                <w:lang w:eastAsia="zh-CN"/>
              </w:rPr>
              <w:t>Option 1:</w:t>
            </w:r>
          </w:p>
          <w:p>
            <w:pPr>
              <w:pStyle w:val="59"/>
              <w:bidi w:val="0"/>
              <w:ind w:left="1236" w:leftChars="0" w:hanging="360" w:firstLineChars="0"/>
              <w:rPr>
                <w:lang w:val="en-US" w:eastAsia="zh-CN"/>
              </w:rPr>
            </w:pPr>
            <w:r>
              <w:rPr>
                <w:lang w:eastAsia="zh-CN"/>
              </w:rPr>
              <w:t>When NW configures a Pre-MG1 and a Pre-MG2/Type-2 MG in ConMGs, the MO associated with Pre-MG1 will be measured within activated Pre-MG2/Type-2 MG if Pre-MG1 is deactivated and the MO is fully overlapping with activated Pre-MG2/Type-2 MG.</w:t>
            </w:r>
          </w:p>
          <w:p>
            <w:pPr>
              <w:numPr>
                <w:ilvl w:val="2"/>
                <w:numId w:val="3"/>
              </w:numPr>
              <w:spacing w:after="0"/>
              <w:ind w:left="1956" w:leftChars="0" w:hanging="360" w:firstLineChars="0"/>
              <w:textAlignment w:val="center"/>
              <w:rPr>
                <w:rFonts w:ascii="Calibri" w:hAnsi="Calibri" w:eastAsia="Times New Roman" w:cs="Calibri"/>
                <w:sz w:val="22"/>
                <w:szCs w:val="22"/>
                <w:lang w:val="en-US" w:eastAsia="zh-CN"/>
              </w:rPr>
            </w:pPr>
            <w:r>
              <w:rPr>
                <w:szCs w:val="24"/>
                <w:lang w:eastAsia="zh-CN"/>
              </w:rPr>
              <w:t xml:space="preserve">Option 1a: </w:t>
            </w:r>
          </w:p>
          <w:p>
            <w:pPr>
              <w:numPr>
                <w:ilvl w:val="3"/>
                <w:numId w:val="3"/>
              </w:numPr>
              <w:spacing w:after="0"/>
              <w:ind w:left="2676" w:leftChars="0" w:hanging="360" w:firstLineChars="0"/>
              <w:textAlignment w:val="center"/>
              <w:rPr>
                <w:rFonts w:ascii="Calibri" w:hAnsi="Calibri" w:eastAsia="Times New Roman" w:cs="Calibri"/>
                <w:sz w:val="22"/>
                <w:szCs w:val="22"/>
                <w:lang w:val="en-US" w:eastAsia="zh-CN"/>
              </w:rPr>
            </w:pPr>
            <w:r>
              <w:rPr>
                <w:szCs w:val="24"/>
                <w:lang w:eastAsia="zh-CN"/>
              </w:rPr>
              <w:t>FFS: whether it need to be captured in spec</w:t>
            </w:r>
          </w:p>
          <w:p>
            <w:pPr>
              <w:pStyle w:val="29"/>
              <w:numPr>
                <w:ilvl w:val="0"/>
                <w:numId w:val="3"/>
              </w:numPr>
              <w:overflowPunct/>
              <w:autoSpaceDE/>
              <w:autoSpaceDN/>
              <w:adjustRightInd/>
              <w:spacing w:after="120"/>
              <w:ind w:left="516" w:leftChars="0" w:hanging="360" w:firstLineChars="0"/>
              <w:textAlignment w:val="auto"/>
              <w:rPr>
                <w:rFonts w:eastAsia="宋体"/>
                <w:szCs w:val="24"/>
                <w:lang w:eastAsia="zh-CN"/>
              </w:rPr>
            </w:pPr>
            <w:r>
              <w:rPr>
                <w:rFonts w:eastAsia="宋体"/>
                <w:szCs w:val="24"/>
                <w:lang w:eastAsia="zh-CN"/>
              </w:rPr>
              <w:t xml:space="preserve">Option 2: </w:t>
            </w:r>
          </w:p>
          <w:p>
            <w:pPr>
              <w:pStyle w:val="59"/>
              <w:bidi w:val="0"/>
              <w:ind w:left="1236" w:leftChars="0" w:hanging="360" w:firstLineChars="0"/>
              <w:rPr>
                <w:rFonts w:hint="default"/>
                <w:lang w:val="en-US" w:eastAsia="zh-CN"/>
              </w:rPr>
            </w:pPr>
            <w:r>
              <w:rPr>
                <w:lang w:eastAsia="zh-CN"/>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pPr>
        <w:rPr>
          <w:rFonts w:hint="eastAsia" w:eastAsia="宋体"/>
          <w:bCs/>
          <w:color w:val="auto"/>
          <w:sz w:val="20"/>
          <w:szCs w:val="20"/>
          <w:lang w:val="en-US" w:eastAsia="zh-CN"/>
        </w:rPr>
      </w:pPr>
      <w:r>
        <w:rPr>
          <w:rFonts w:hint="eastAsia" w:eastAsia="宋体"/>
          <w:bCs/>
          <w:color w:val="auto"/>
          <w:sz w:val="20"/>
          <w:szCs w:val="20"/>
          <w:lang w:val="en-US" w:eastAsia="zh-CN"/>
        </w:rPr>
        <w:t>In our view, both Option 1 and Option 2 are further optimization, and these optimization would break the association rule applied in R17 and R18 in general. Furthermore, whether the MO referred here can be measured without MG, which would also be dynamic. So there are two cases:</w:t>
      </w:r>
    </w:p>
    <w:p>
      <w:pPr>
        <w:rPr>
          <w:rFonts w:hint="default" w:eastAsia="宋体"/>
          <w:bCs/>
          <w:color w:val="auto"/>
          <w:sz w:val="20"/>
          <w:szCs w:val="20"/>
          <w:lang w:val="en-US" w:eastAsia="zh-CN"/>
        </w:rPr>
      </w:pPr>
      <w:r>
        <w:rPr>
          <w:rFonts w:hint="eastAsia" w:eastAsia="宋体"/>
          <w:bCs/>
          <w:color w:val="auto"/>
          <w:sz w:val="20"/>
          <w:szCs w:val="20"/>
          <w:lang w:val="en-US" w:eastAsia="zh-CN"/>
        </w:rPr>
        <w:t>Case 1: The MO can be performed without MG after the Pre-MG1 is deactivated</w:t>
      </w:r>
    </w:p>
    <w:p>
      <w:pPr>
        <w:rPr>
          <w:rFonts w:hint="default" w:eastAsia="宋体"/>
          <w:bCs/>
          <w:color w:val="auto"/>
          <w:sz w:val="20"/>
          <w:szCs w:val="20"/>
          <w:lang w:val="en-US" w:eastAsia="zh-CN"/>
        </w:rPr>
      </w:pPr>
      <w:r>
        <w:rPr>
          <w:rFonts w:hint="eastAsia" w:eastAsia="宋体"/>
          <w:bCs/>
          <w:color w:val="auto"/>
          <w:sz w:val="20"/>
          <w:szCs w:val="20"/>
          <w:lang w:val="en-US" w:eastAsia="zh-CN"/>
        </w:rPr>
        <w:t>Case 2: The MO has to be performed with MG after the Pre-MG1 is deactivated</w:t>
      </w:r>
    </w:p>
    <w:p>
      <w:pPr>
        <w:rPr>
          <w:rFonts w:hint="eastAsia" w:eastAsia="宋体"/>
          <w:bCs/>
          <w:color w:val="auto"/>
          <w:sz w:val="20"/>
          <w:szCs w:val="20"/>
          <w:lang w:val="en-US" w:eastAsia="zh-CN"/>
        </w:rPr>
      </w:pPr>
      <w:r>
        <w:rPr>
          <w:rFonts w:hint="eastAsia" w:eastAsia="宋体"/>
          <w:bCs/>
          <w:color w:val="auto"/>
          <w:sz w:val="20"/>
          <w:szCs w:val="20"/>
          <w:lang w:val="en-US" w:eastAsia="zh-CN"/>
        </w:rPr>
        <w:t>For Case 1, no need to optimize since the MO can be performed at the Pre-MG occasion of the deactivated Pre-MG1.</w:t>
      </w:r>
    </w:p>
    <w:p>
      <w:pPr>
        <w:rPr>
          <w:rFonts w:hint="default" w:eastAsia="宋体"/>
          <w:bCs/>
          <w:color w:val="auto"/>
          <w:sz w:val="20"/>
          <w:szCs w:val="20"/>
          <w:lang w:val="en-US" w:eastAsia="zh-CN"/>
        </w:rPr>
      </w:pPr>
      <w:r>
        <w:rPr>
          <w:rFonts w:hint="eastAsia" w:eastAsia="宋体"/>
          <w:bCs/>
          <w:color w:val="auto"/>
          <w:sz w:val="20"/>
          <w:szCs w:val="20"/>
          <w:lang w:val="en-US" w:eastAsia="zh-CN"/>
        </w:rPr>
        <w:t>For Case 2, if the Pre-MG1 is deactivated, there is no opportunity to perform this MO but we believe such case is corner case, since normally the activation/deactivation of Pre-MG would be closely connected with the demand of the associated MO. Therefor it is probable that when the Pre-MG1 is switched to deactivated, the activated BWP can cover the RS of MO, so the MO can be performed without MG, i.e. Case 1 happens.</w:t>
      </w:r>
    </w:p>
    <w:p>
      <w:pPr>
        <w:pStyle w:val="8"/>
        <w:rPr>
          <w:rFonts w:hint="default" w:eastAsia="宋体"/>
          <w:bCs/>
          <w:color w:val="auto"/>
          <w:sz w:val="20"/>
          <w:szCs w:val="20"/>
          <w:lang w:val="en-US" w:eastAsia="zh-CN"/>
        </w:rPr>
      </w:pPr>
      <w:r>
        <w:rPr>
          <w:rFonts w:hint="eastAsia" w:eastAsia="宋体"/>
          <w:bCs/>
          <w:color w:val="auto"/>
          <w:sz w:val="20"/>
          <w:szCs w:val="20"/>
          <w:lang w:val="en-US" w:eastAsia="zh-CN"/>
        </w:rPr>
        <w:t xml:space="preserve">So we are not sure whether it is beneficial enough to introduce additional optimization for this issue.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case that Pre-MG1 is deactivated whereas the associated MO still has to be performed with MG is corner case.</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UE features for Case 1</w:t>
      </w:r>
    </w:p>
    <w:p>
      <w:pPr>
        <w:pStyle w:val="8"/>
        <w:rPr>
          <w:rFonts w:hint="eastAsia" w:eastAsia="宋体"/>
          <w:bCs/>
          <w:color w:val="auto"/>
          <w:sz w:val="20"/>
          <w:szCs w:val="20"/>
          <w:lang w:val="en-US" w:eastAsia="zh-CN"/>
        </w:rPr>
      </w:pPr>
      <w:r>
        <w:rPr>
          <w:rFonts w:hint="eastAsia" w:eastAsia="宋体"/>
          <w:bCs/>
          <w:color w:val="auto"/>
          <w:sz w:val="20"/>
          <w:szCs w:val="20"/>
          <w:lang w:val="en-US" w:eastAsia="zh-CN"/>
        </w:rPr>
        <w:t>In last meeting, three candidate UE features were raised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511"/>
        <w:gridCol w:w="781"/>
        <w:gridCol w:w="1200"/>
        <w:gridCol w:w="545"/>
        <w:gridCol w:w="576"/>
        <w:gridCol w:w="589"/>
        <w:gridCol w:w="942"/>
        <w:gridCol w:w="388"/>
        <w:gridCol w:w="708"/>
        <w:gridCol w:w="708"/>
        <w:gridCol w:w="692"/>
        <w:gridCol w:w="380"/>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5"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51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78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200" w:type="dxa"/>
            <w:shd w:val="clear" w:color="auto" w:fill="auto"/>
          </w:tcPr>
          <w:p>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545"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5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58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942" w:type="dxa"/>
          </w:tcPr>
          <w:p>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388" w:type="dxa"/>
            <w:shd w:val="clear" w:color="auto" w:fill="auto"/>
          </w:tcPr>
          <w:p>
            <w:pPr>
              <w:keepNext/>
              <w:keepLines/>
              <w:rPr>
                <w:rFonts w:ascii="Arial" w:hAnsi="Arial" w:cs="Arial"/>
                <w:b/>
                <w:color w:val="000000"/>
                <w:sz w:val="18"/>
              </w:rPr>
            </w:pPr>
            <w:r>
              <w:rPr>
                <w:rFonts w:ascii="Arial" w:hAnsi="Arial" w:cs="Arial"/>
                <w:b/>
                <w:color w:val="000000"/>
                <w:sz w:val="18"/>
              </w:rPr>
              <w:t>Type</w:t>
            </w:r>
          </w:p>
        </w:tc>
        <w:tc>
          <w:tcPr>
            <w:tcW w:w="70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70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69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38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9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585" w:type="dxa"/>
            <w:shd w:val="clear" w:color="auto" w:fill="auto"/>
          </w:tcPr>
          <w:p>
            <w:pPr>
              <w:keepNext/>
              <w:keepLines/>
              <w:overflowPunct w:val="0"/>
              <w:autoSpaceDE w:val="0"/>
              <w:autoSpaceDN w:val="0"/>
              <w:adjustRightInd w:val="0"/>
              <w:textAlignment w:val="baseline"/>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32. NR_MG_enh2</w:t>
            </w:r>
          </w:p>
        </w:tc>
        <w:tc>
          <w:tcPr>
            <w:tcW w:w="511"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32-1</w:t>
            </w:r>
          </w:p>
        </w:tc>
        <w:tc>
          <w:tcPr>
            <w:tcW w:w="781" w:type="dxa"/>
            <w:shd w:val="clear" w:color="auto" w:fill="auto"/>
          </w:tcPr>
          <w:p>
            <w:pPr>
              <w:keepNext/>
              <w:keepLines/>
              <w:rPr>
                <w:rFonts w:ascii="Arial" w:hAnsi="Arial" w:eastAsia="PMingLiU" w:cs="Arial"/>
                <w:sz w:val="18"/>
                <w:szCs w:val="18"/>
                <w:lang w:eastAsia="zh-TW"/>
              </w:rPr>
            </w:pPr>
            <w:r>
              <w:rPr>
                <w:rFonts w:ascii="Arial" w:hAnsi="Arial" w:eastAsia="PMingLiU" w:cs="Arial"/>
                <w:sz w:val="18"/>
                <w:szCs w:val="18"/>
                <w:lang w:eastAsia="zh-TW"/>
              </w:rPr>
              <w:t xml:space="preserve">Concurrent gaps with </w:t>
            </w:r>
            <w:r>
              <w:rPr>
                <w:rFonts w:hint="eastAsia" w:ascii="Arial" w:hAnsi="Arial" w:eastAsia="PMingLiU" w:cs="Arial"/>
                <w:sz w:val="18"/>
                <w:szCs w:val="18"/>
                <w:lang w:eastAsia="zh-TW"/>
              </w:rPr>
              <w:t>P</w:t>
            </w:r>
            <w:r>
              <w:rPr>
                <w:rFonts w:ascii="Arial" w:hAnsi="Arial" w:eastAsia="PMingLiU" w:cs="Arial"/>
                <w:sz w:val="18"/>
                <w:szCs w:val="18"/>
                <w:lang w:eastAsia="zh-TW"/>
              </w:rPr>
              <w:t>re-MG in a FR</w:t>
            </w:r>
          </w:p>
        </w:tc>
        <w:tc>
          <w:tcPr>
            <w:tcW w:w="1200" w:type="dxa"/>
            <w:shd w:val="clear" w:color="auto" w:fill="auto"/>
          </w:tcPr>
          <w:p>
            <w:pPr>
              <w:pStyle w:val="56"/>
              <w:spacing w:before="0" w:beforeAutospacing="0" w:after="0" w:afterAutospacing="0"/>
              <w:textAlignment w:val="baseline"/>
              <w:rPr>
                <w:rFonts w:ascii="Arial" w:hAnsi="Arial" w:cs="Arial" w:eastAsiaTheme="minorEastAsia"/>
                <w:sz w:val="18"/>
                <w:szCs w:val="18"/>
                <w:lang w:eastAsia="zh-CN"/>
              </w:rPr>
            </w:pPr>
            <w:r>
              <w:rPr>
                <w:rStyle w:val="54"/>
                <w:rFonts w:ascii="Arial" w:hAnsi="Arial" w:cs="Arial"/>
                <w:sz w:val="18"/>
                <w:szCs w:val="18"/>
              </w:rPr>
              <w:t xml:space="preserve">Support of multiple per-UE (or per-FR) measurement gap patterns with at least one per-UE (or per-FR) Pre-MG. Details in </w:t>
            </w:r>
            <w:r>
              <w:rPr>
                <w:rStyle w:val="54"/>
                <w:rFonts w:hint="eastAsia" w:ascii="Arial" w:hAnsi="Arial" w:cs="Arial"/>
                <w:sz w:val="18"/>
                <w:szCs w:val="18"/>
              </w:rPr>
              <w:t>C</w:t>
            </w:r>
            <w:r>
              <w:rPr>
                <w:rStyle w:val="54"/>
                <w:rFonts w:ascii="Arial" w:hAnsi="Arial" w:cs="Arial"/>
                <w:sz w:val="18"/>
                <w:szCs w:val="18"/>
              </w:rPr>
              <w:t xml:space="preserve">lause </w:t>
            </w:r>
            <w:r>
              <w:rPr>
                <w:rStyle w:val="54"/>
                <w:rFonts w:hint="eastAsia" w:ascii="Arial" w:hAnsi="Arial" w:cs="Arial"/>
                <w:sz w:val="18"/>
                <w:szCs w:val="18"/>
              </w:rPr>
              <w:t>[</w:t>
            </w:r>
            <w:r>
              <w:rPr>
                <w:rStyle w:val="54"/>
                <w:rFonts w:ascii="Arial" w:hAnsi="Arial" w:cs="Arial"/>
                <w:sz w:val="18"/>
                <w:szCs w:val="18"/>
              </w:rPr>
              <w:t>9.1.x.2</w:t>
            </w:r>
            <w:r>
              <w:rPr>
                <w:rStyle w:val="54"/>
                <w:rFonts w:hint="eastAsia" w:ascii="Arial" w:hAnsi="Arial" w:cs="Arial"/>
                <w:sz w:val="18"/>
                <w:szCs w:val="18"/>
              </w:rPr>
              <w:t>]</w:t>
            </w:r>
            <w:r>
              <w:rPr>
                <w:rStyle w:val="54"/>
                <w:rFonts w:ascii="Arial" w:hAnsi="Arial" w:cs="Arial"/>
                <w:sz w:val="18"/>
                <w:szCs w:val="18"/>
              </w:rPr>
              <w:t xml:space="preserve"> of TS 38.133.</w:t>
            </w:r>
            <w:r>
              <w:rPr>
                <w:rStyle w:val="55"/>
                <w:rFonts w:ascii="Arial" w:hAnsi="Arial" w:cs="Arial"/>
                <w:sz w:val="18"/>
                <w:szCs w:val="18"/>
              </w:rPr>
              <w:t> </w:t>
            </w:r>
          </w:p>
        </w:tc>
        <w:tc>
          <w:tcPr>
            <w:tcW w:w="545" w:type="dxa"/>
            <w:shd w:val="clear" w:color="auto" w:fill="auto"/>
          </w:tcPr>
          <w:p>
            <w:pPr>
              <w:keepNext/>
              <w:keepLines/>
              <w:rPr>
                <w:rStyle w:val="54"/>
                <w:rFonts w:ascii="Arial" w:hAnsi="Arial" w:cs="Arial"/>
                <w:color w:val="000000"/>
                <w:sz w:val="18"/>
                <w:szCs w:val="18"/>
                <w:shd w:val="clear" w:color="auto" w:fill="FFFFFF"/>
              </w:rPr>
            </w:pPr>
            <w:r>
              <w:rPr>
                <w:rStyle w:val="54"/>
                <w:rFonts w:ascii="Arial" w:hAnsi="Arial" w:cs="Arial"/>
                <w:color w:val="000000"/>
                <w:sz w:val="18"/>
                <w:szCs w:val="18"/>
                <w:shd w:val="clear" w:color="auto" w:fill="FFFFFF"/>
              </w:rPr>
              <w:t>19-3-x</w:t>
            </w:r>
            <w:r>
              <w:rPr>
                <w:rStyle w:val="55"/>
                <w:rFonts w:ascii="Arial" w:hAnsi="Arial" w:cs="Arial"/>
                <w:color w:val="000000"/>
                <w:sz w:val="18"/>
                <w:szCs w:val="18"/>
                <w:shd w:val="clear" w:color="auto" w:fill="FFFFFF"/>
              </w:rPr>
              <w:t xml:space="preserve"> and </w:t>
            </w:r>
            <w:r>
              <w:rPr>
                <w:rStyle w:val="54"/>
                <w:rFonts w:ascii="Arial" w:hAnsi="Arial" w:cs="Arial"/>
                <w:color w:val="000000"/>
                <w:sz w:val="18"/>
                <w:szCs w:val="18"/>
                <w:shd w:val="clear" w:color="auto" w:fill="FFFFFF"/>
              </w:rPr>
              <w:t>19-2</w:t>
            </w:r>
          </w:p>
          <w:p>
            <w:pPr>
              <w:keepNext/>
              <w:keepLines/>
              <w:rPr>
                <w:rFonts w:ascii="Arial" w:hAnsi="Arial" w:eastAsia="PMingLiU" w:cs="Arial"/>
                <w:sz w:val="18"/>
                <w:szCs w:val="18"/>
                <w:lang w:eastAsia="zh-TW"/>
              </w:rPr>
            </w:pPr>
            <w:r>
              <w:rPr>
                <w:rStyle w:val="54"/>
                <w:rFonts w:ascii="Arial" w:hAnsi="Arial" w:eastAsia="PMingLiU" w:cs="Arial"/>
                <w:sz w:val="18"/>
                <w:szCs w:val="18"/>
                <w:lang w:val="en-US" w:eastAsia="zh-TW"/>
              </w:rPr>
              <w:t xml:space="preserve">x = 1 or 2 </w:t>
            </w:r>
          </w:p>
        </w:tc>
        <w:tc>
          <w:tcPr>
            <w:tcW w:w="576" w:type="dxa"/>
            <w:shd w:val="clear" w:color="auto" w:fill="auto"/>
          </w:tcPr>
          <w:p>
            <w:pPr>
              <w:keepNext/>
              <w:keepLines/>
              <w:rPr>
                <w:rFonts w:ascii="Arial" w:hAnsi="Arial" w:eastAsia="PMingLiU" w:cs="Arial"/>
                <w:sz w:val="18"/>
                <w:szCs w:val="18"/>
                <w:lang w:eastAsia="zh-TW"/>
              </w:rPr>
            </w:pPr>
            <w:r>
              <w:rPr>
                <w:rFonts w:hint="eastAsia" w:ascii="Arial" w:hAnsi="Arial" w:eastAsia="PMingLiU" w:cs="Arial"/>
                <w:sz w:val="18"/>
                <w:szCs w:val="18"/>
                <w:lang w:eastAsia="zh-TW"/>
              </w:rPr>
              <w:t>Y</w:t>
            </w:r>
            <w:r>
              <w:rPr>
                <w:rFonts w:ascii="Arial" w:hAnsi="Arial" w:eastAsia="PMingLiU" w:cs="Arial"/>
                <w:sz w:val="18"/>
                <w:szCs w:val="18"/>
                <w:lang w:eastAsia="zh-TW"/>
              </w:rPr>
              <w:t>es</w:t>
            </w:r>
          </w:p>
        </w:tc>
        <w:tc>
          <w:tcPr>
            <w:tcW w:w="589" w:type="dxa"/>
            <w:shd w:val="clear" w:color="auto" w:fill="auto"/>
          </w:tcPr>
          <w:p>
            <w:pPr>
              <w:keepNext/>
              <w:keepLines/>
              <w:rPr>
                <w:rFonts w:ascii="Arial" w:hAnsi="Arial" w:eastAsia="PMingLiU" w:cs="Arial"/>
                <w:sz w:val="18"/>
                <w:szCs w:val="18"/>
                <w:lang w:eastAsia="zh-TW"/>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942" w:type="dxa"/>
          </w:tcPr>
          <w:p>
            <w:pPr>
              <w:keepNext/>
              <w:keepLines/>
              <w:rPr>
                <w:rFonts w:ascii="Arial" w:hAnsi="Arial" w:eastAsia="PMingLiU" w:cs="Arial"/>
                <w:sz w:val="18"/>
                <w:szCs w:val="18"/>
                <w:lang w:eastAsia="zh-TW"/>
              </w:rPr>
            </w:pPr>
            <w:r>
              <w:rPr>
                <w:rFonts w:ascii="Arial" w:hAnsi="Arial" w:eastAsia="PMingLiU" w:cs="Arial"/>
                <w:sz w:val="18"/>
                <w:szCs w:val="18"/>
                <w:lang w:eastAsia="zh-TW"/>
              </w:rPr>
              <w:t>UE behaviour is undefined if the network configures concurrent MGs where at least one of the gaps is a Pre-MG</w:t>
            </w:r>
          </w:p>
        </w:tc>
        <w:tc>
          <w:tcPr>
            <w:tcW w:w="388" w:type="dxa"/>
            <w:shd w:val="clear" w:color="auto" w:fill="auto"/>
          </w:tcPr>
          <w:p>
            <w:pPr>
              <w:keepNext/>
              <w:keepLines/>
              <w:rPr>
                <w:rFonts w:ascii="Arial" w:hAnsi="Arial" w:cs="Arial"/>
                <w:sz w:val="18"/>
                <w:szCs w:val="18"/>
              </w:rPr>
            </w:pPr>
            <w:r>
              <w:rPr>
                <w:rFonts w:ascii="Arial" w:hAnsi="Arial" w:eastAsia="PMingLiU" w:cs="Arial"/>
                <w:sz w:val="18"/>
                <w:szCs w:val="18"/>
                <w:lang w:eastAsia="zh-TW"/>
              </w:rPr>
              <w:t>Per UE</w:t>
            </w:r>
          </w:p>
        </w:tc>
        <w:tc>
          <w:tcPr>
            <w:tcW w:w="708"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708"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692" w:type="dxa"/>
          </w:tcPr>
          <w:p>
            <w:pPr>
              <w:keepNext/>
              <w:keepLines/>
              <w:rPr>
                <w:rFonts w:ascii="Arial" w:hAnsi="Arial" w:cs="Arial"/>
                <w:sz w:val="18"/>
                <w:szCs w:val="18"/>
              </w:rPr>
            </w:pPr>
            <w:r>
              <w:rPr>
                <w:rFonts w:ascii="Arial" w:hAnsi="Arial" w:cs="Arial"/>
                <w:sz w:val="18"/>
                <w:szCs w:val="18"/>
              </w:rPr>
              <w:t>N.A</w:t>
            </w:r>
          </w:p>
        </w:tc>
        <w:tc>
          <w:tcPr>
            <w:tcW w:w="380" w:type="dxa"/>
            <w:shd w:val="clear" w:color="auto" w:fill="auto"/>
          </w:tcPr>
          <w:p>
            <w:pPr>
              <w:keepNext/>
              <w:keepLines/>
              <w:rPr>
                <w:rFonts w:ascii="Arial" w:hAnsi="Arial" w:cs="Arial"/>
                <w:sz w:val="18"/>
                <w:szCs w:val="18"/>
              </w:rPr>
            </w:pPr>
          </w:p>
        </w:tc>
        <w:tc>
          <w:tcPr>
            <w:tcW w:w="909" w:type="dxa"/>
            <w:shd w:val="clear" w:color="auto" w:fill="auto"/>
          </w:tcPr>
          <w:p>
            <w:pPr>
              <w:keepNext/>
              <w:keepLines/>
              <w:rPr>
                <w:rFonts w:ascii="Arial" w:hAnsi="Arial" w:cs="Arial"/>
                <w:sz w:val="18"/>
                <w:szCs w:val="18"/>
              </w:rPr>
            </w:pPr>
            <w:r>
              <w:rPr>
                <w:rStyle w:val="54"/>
                <w:rFonts w:ascii="Arial" w:hAnsi="Arial" w:cs="Arial"/>
                <w:color w:val="000000"/>
                <w:sz w:val="18"/>
                <w:szCs w:val="18"/>
                <w:shd w:val="clear" w:color="auto" w:fill="FFFFFF"/>
              </w:rPr>
              <w:t>Optional with capability signalling</w:t>
            </w:r>
            <w:r>
              <w:rPr>
                <w:rStyle w:val="55"/>
                <w:rFonts w:ascii="Arial" w:hAnsi="Arial" w:cs="Arial"/>
                <w:color w:val="000000"/>
                <w:sz w:val="18"/>
                <w:szCs w:val="18"/>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85"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511" w:type="dxa"/>
            <w:shd w:val="clear" w:color="auto" w:fill="auto"/>
          </w:tcPr>
          <w:p>
            <w:pPr>
              <w:keepNext/>
              <w:keepLines/>
              <w:rPr>
                <w:rFonts w:ascii="Arial" w:hAnsi="Arial" w:eastAsia="PMingLiU" w:cs="Arial"/>
                <w:sz w:val="18"/>
                <w:szCs w:val="18"/>
                <w:lang w:eastAsia="zh-TW"/>
              </w:rPr>
            </w:pPr>
            <w:r>
              <w:rPr>
                <w:rFonts w:ascii="Arial" w:hAnsi="Arial" w:eastAsia="PMingLiU" w:cs="Arial"/>
                <w:sz w:val="18"/>
                <w:szCs w:val="18"/>
                <w:lang w:eastAsia="zh-TW"/>
              </w:rPr>
              <w:t>[</w:t>
            </w:r>
            <w:r>
              <w:rPr>
                <w:rFonts w:hint="eastAsia" w:ascii="Arial" w:hAnsi="Arial" w:eastAsia="PMingLiU" w:cs="Arial"/>
                <w:sz w:val="18"/>
                <w:szCs w:val="18"/>
                <w:lang w:eastAsia="zh-TW"/>
              </w:rPr>
              <w:t>3</w:t>
            </w:r>
            <w:r>
              <w:rPr>
                <w:rFonts w:ascii="Arial" w:hAnsi="Arial" w:eastAsia="PMingLiU" w:cs="Arial"/>
                <w:sz w:val="18"/>
                <w:szCs w:val="18"/>
                <w:lang w:eastAsia="zh-TW"/>
              </w:rPr>
              <w:t>2-2]</w:t>
            </w:r>
          </w:p>
        </w:tc>
        <w:tc>
          <w:tcPr>
            <w:tcW w:w="781" w:type="dxa"/>
            <w:shd w:val="clear" w:color="auto" w:fill="auto"/>
          </w:tcPr>
          <w:p>
            <w:pPr>
              <w:keepNext/>
              <w:keepLines/>
              <w:rPr>
                <w:rFonts w:ascii="Arial" w:hAnsi="Arial" w:eastAsia="PMingLiU" w:cs="Arial"/>
                <w:sz w:val="18"/>
                <w:szCs w:val="18"/>
                <w:lang w:eastAsia="zh-TW"/>
              </w:rPr>
            </w:pPr>
            <w:r>
              <w:rPr>
                <w:rFonts w:ascii="Arial" w:hAnsi="Arial" w:eastAsia="PMingLiU" w:cs="Arial"/>
                <w:sz w:val="18"/>
                <w:szCs w:val="18"/>
                <w:lang w:eastAsia="zh-TW"/>
              </w:rPr>
              <w:t xml:space="preserve">Two </w:t>
            </w:r>
            <w:r>
              <w:rPr>
                <w:rFonts w:hint="eastAsia" w:ascii="Arial" w:hAnsi="Arial" w:eastAsia="PMingLiU" w:cs="Arial"/>
                <w:sz w:val="18"/>
                <w:szCs w:val="18"/>
                <w:lang w:eastAsia="zh-TW"/>
              </w:rPr>
              <w:t>P</w:t>
            </w:r>
            <w:r>
              <w:rPr>
                <w:rFonts w:ascii="Arial" w:hAnsi="Arial" w:eastAsia="PMingLiU" w:cs="Arial"/>
                <w:sz w:val="18"/>
                <w:szCs w:val="18"/>
                <w:lang w:eastAsia="zh-TW"/>
              </w:rPr>
              <w:t>re-MG configuration with simultaneous activation/deactivation</w:t>
            </w:r>
          </w:p>
        </w:tc>
        <w:tc>
          <w:tcPr>
            <w:tcW w:w="1200" w:type="dxa"/>
            <w:shd w:val="clear" w:color="auto" w:fill="auto"/>
          </w:tcPr>
          <w:p>
            <w:pPr>
              <w:rPr>
                <w:rFonts w:ascii="Arial" w:hAnsi="Arial" w:eastAsia="PMingLiU" w:cs="Arial"/>
                <w:sz w:val="18"/>
                <w:szCs w:val="18"/>
                <w:lang w:eastAsia="zh-TW"/>
              </w:rPr>
            </w:pPr>
            <w:r>
              <w:rPr>
                <w:rFonts w:hint="eastAsia" w:ascii="Arial" w:hAnsi="Arial" w:eastAsia="PMingLiU" w:cs="Arial"/>
                <w:sz w:val="18"/>
                <w:szCs w:val="18"/>
                <w:lang w:eastAsia="zh-TW"/>
              </w:rPr>
              <w:t>S</w:t>
            </w:r>
            <w:r>
              <w:rPr>
                <w:rFonts w:ascii="Arial" w:hAnsi="Arial" w:eastAsia="PMingLiU" w:cs="Arial"/>
                <w:sz w:val="18"/>
                <w:szCs w:val="18"/>
                <w:lang w:eastAsia="zh-TW"/>
              </w:rPr>
              <w:t xml:space="preserve">upport configurations of two Pre-MG with simultaneous activation/deactivation in the same FR. </w:t>
            </w:r>
          </w:p>
        </w:tc>
        <w:tc>
          <w:tcPr>
            <w:tcW w:w="545" w:type="dxa"/>
            <w:shd w:val="clear" w:color="auto" w:fill="auto"/>
          </w:tcPr>
          <w:p>
            <w:pPr>
              <w:keepNext/>
              <w:keepLines/>
              <w:rPr>
                <w:rFonts w:ascii="Arial" w:hAnsi="Arial" w:eastAsia="PMingLiU" w:cs="Arial"/>
                <w:sz w:val="18"/>
                <w:szCs w:val="18"/>
                <w:lang w:eastAsia="zh-TW"/>
              </w:rPr>
            </w:pPr>
            <w:r>
              <w:rPr>
                <w:rFonts w:hint="eastAsia" w:ascii="Arial" w:hAnsi="Arial" w:eastAsia="PMingLiU" w:cs="Arial"/>
                <w:sz w:val="18"/>
                <w:szCs w:val="18"/>
                <w:lang w:eastAsia="zh-TW"/>
              </w:rPr>
              <w:t>3</w:t>
            </w:r>
            <w:r>
              <w:rPr>
                <w:rFonts w:ascii="Arial" w:hAnsi="Arial" w:eastAsia="PMingLiU" w:cs="Arial"/>
                <w:sz w:val="18"/>
                <w:szCs w:val="18"/>
                <w:lang w:eastAsia="zh-TW"/>
              </w:rPr>
              <w:t>2-1</w:t>
            </w:r>
          </w:p>
        </w:tc>
        <w:tc>
          <w:tcPr>
            <w:tcW w:w="576"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Y</w:t>
            </w:r>
            <w:r>
              <w:rPr>
                <w:rFonts w:ascii="Arial" w:hAnsi="Arial" w:eastAsia="PMingLiU" w:cs="Arial"/>
                <w:sz w:val="18"/>
                <w:szCs w:val="18"/>
                <w:lang w:eastAsia="zh-TW"/>
              </w:rPr>
              <w:t>es</w:t>
            </w:r>
          </w:p>
        </w:tc>
        <w:tc>
          <w:tcPr>
            <w:tcW w:w="589"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942" w:type="dxa"/>
            <w:shd w:val="clear" w:color="auto" w:fill="auto"/>
          </w:tcPr>
          <w:p>
            <w:pPr>
              <w:keepNext/>
              <w:keepLines/>
              <w:rPr>
                <w:rFonts w:ascii="Arial" w:hAnsi="Arial" w:cs="Arial"/>
                <w:sz w:val="18"/>
                <w:szCs w:val="18"/>
              </w:rPr>
            </w:pPr>
            <w:r>
              <w:rPr>
                <w:rFonts w:ascii="Arial" w:hAnsi="Arial" w:eastAsia="PMingLiU" w:cs="Arial"/>
                <w:sz w:val="18"/>
                <w:szCs w:val="18"/>
                <w:lang w:eastAsia="zh-TW"/>
              </w:rPr>
              <w:t>UE activation/deactivation time for simultaneous Pre-MG is undefined</w:t>
            </w:r>
          </w:p>
        </w:tc>
        <w:tc>
          <w:tcPr>
            <w:tcW w:w="388" w:type="dxa"/>
            <w:shd w:val="clear" w:color="auto" w:fill="auto"/>
          </w:tcPr>
          <w:p>
            <w:pPr>
              <w:keepNext/>
              <w:keepLines/>
              <w:rPr>
                <w:rFonts w:ascii="Arial" w:hAnsi="Arial" w:cs="Arial"/>
                <w:sz w:val="18"/>
                <w:szCs w:val="18"/>
              </w:rPr>
            </w:pPr>
            <w:r>
              <w:rPr>
                <w:rFonts w:ascii="Arial" w:hAnsi="Arial" w:eastAsia="PMingLiU" w:cs="Arial"/>
                <w:sz w:val="18"/>
                <w:szCs w:val="18"/>
                <w:lang w:eastAsia="zh-TW"/>
              </w:rPr>
              <w:t>Per UE</w:t>
            </w:r>
          </w:p>
        </w:tc>
        <w:tc>
          <w:tcPr>
            <w:tcW w:w="708"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708"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692" w:type="dxa"/>
            <w:shd w:val="clear" w:color="auto" w:fill="auto"/>
          </w:tcPr>
          <w:p>
            <w:pPr>
              <w:keepNext/>
              <w:keepLines/>
              <w:rPr>
                <w:rFonts w:ascii="Arial" w:hAnsi="Arial" w:cs="Arial"/>
                <w:sz w:val="18"/>
                <w:szCs w:val="18"/>
              </w:rPr>
            </w:pPr>
            <w:r>
              <w:rPr>
                <w:rFonts w:ascii="Arial" w:hAnsi="Arial" w:cs="Arial"/>
                <w:sz w:val="18"/>
                <w:szCs w:val="18"/>
              </w:rPr>
              <w:t>N.A</w:t>
            </w:r>
          </w:p>
        </w:tc>
        <w:tc>
          <w:tcPr>
            <w:tcW w:w="380" w:type="dxa"/>
            <w:shd w:val="clear" w:color="auto" w:fill="auto"/>
          </w:tcPr>
          <w:p>
            <w:pPr>
              <w:keepNext/>
              <w:keepLines/>
              <w:rPr>
                <w:rFonts w:ascii="Arial" w:hAnsi="Arial" w:cs="Arial"/>
                <w:sz w:val="18"/>
                <w:szCs w:val="18"/>
              </w:rPr>
            </w:pPr>
          </w:p>
        </w:tc>
        <w:tc>
          <w:tcPr>
            <w:tcW w:w="909" w:type="dxa"/>
            <w:shd w:val="clear" w:color="auto" w:fill="auto"/>
          </w:tcPr>
          <w:p>
            <w:pPr>
              <w:keepNext/>
              <w:keepLines/>
              <w:rPr>
                <w:rFonts w:ascii="Arial" w:hAnsi="Arial" w:cs="Arial"/>
                <w:sz w:val="18"/>
                <w:szCs w:val="18"/>
              </w:rPr>
            </w:pPr>
            <w:r>
              <w:rPr>
                <w:rStyle w:val="54"/>
                <w:rFonts w:ascii="Arial" w:hAnsi="Arial" w:cs="Arial"/>
                <w:color w:val="000000"/>
                <w:sz w:val="18"/>
                <w:szCs w:val="18"/>
                <w:shd w:val="clear" w:color="auto" w:fill="FFFFFF"/>
              </w:rPr>
              <w:t>Optional with capability signalling</w:t>
            </w:r>
            <w:r>
              <w:rPr>
                <w:rStyle w:val="55"/>
                <w:rFonts w:ascii="Arial" w:hAnsi="Arial" w:cs="Arial"/>
                <w:color w:val="000000"/>
                <w:sz w:val="18"/>
                <w:szCs w:val="18"/>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585"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511" w:type="dxa"/>
            <w:shd w:val="clear" w:color="auto" w:fill="auto"/>
          </w:tcPr>
          <w:p>
            <w:pPr>
              <w:keepNext/>
              <w:keepLines/>
              <w:rPr>
                <w:rFonts w:ascii="Arial" w:hAnsi="Arial" w:eastAsia="PMingLiU" w:cs="Arial"/>
                <w:sz w:val="18"/>
                <w:szCs w:val="18"/>
                <w:lang w:eastAsia="zh-TW"/>
              </w:rPr>
            </w:pPr>
            <w:r>
              <w:rPr>
                <w:rFonts w:ascii="Arial" w:hAnsi="Arial" w:eastAsia="PMingLiU" w:cs="Arial"/>
                <w:sz w:val="18"/>
                <w:szCs w:val="18"/>
                <w:lang w:eastAsia="zh-TW"/>
              </w:rPr>
              <w:t>[</w:t>
            </w:r>
            <w:r>
              <w:rPr>
                <w:rFonts w:hint="eastAsia" w:ascii="Arial" w:hAnsi="Arial" w:eastAsia="PMingLiU" w:cs="Arial"/>
                <w:sz w:val="18"/>
                <w:szCs w:val="18"/>
                <w:lang w:eastAsia="zh-TW"/>
              </w:rPr>
              <w:t>3</w:t>
            </w:r>
            <w:r>
              <w:rPr>
                <w:rFonts w:ascii="Arial" w:hAnsi="Arial" w:eastAsia="PMingLiU" w:cs="Arial"/>
                <w:sz w:val="18"/>
                <w:szCs w:val="18"/>
                <w:lang w:eastAsia="zh-TW"/>
              </w:rPr>
              <w:t>2-3]</w:t>
            </w:r>
          </w:p>
        </w:tc>
        <w:tc>
          <w:tcPr>
            <w:tcW w:w="781" w:type="dxa"/>
            <w:shd w:val="clear" w:color="auto" w:fill="auto"/>
          </w:tcPr>
          <w:p>
            <w:pPr>
              <w:keepNext/>
              <w:keepLines/>
              <w:rPr>
                <w:rFonts w:ascii="Arial" w:hAnsi="Arial" w:eastAsia="PMingLiU" w:cs="Arial"/>
                <w:sz w:val="18"/>
                <w:szCs w:val="18"/>
                <w:lang w:eastAsia="zh-TW"/>
              </w:rPr>
            </w:pPr>
            <w:r>
              <w:rPr>
                <w:rFonts w:ascii="Arial" w:hAnsi="Arial" w:eastAsia="PMingLiU" w:cs="Arial"/>
                <w:sz w:val="18"/>
                <w:szCs w:val="18"/>
                <w:lang w:eastAsia="zh-TW"/>
              </w:rPr>
              <w:t>Support for dynamic collisions</w:t>
            </w:r>
          </w:p>
          <w:p>
            <w:pPr>
              <w:keepNext/>
              <w:keepLines/>
              <w:rPr>
                <w:rFonts w:ascii="Arial" w:hAnsi="Arial" w:eastAsia="PMingLiU" w:cs="Arial"/>
                <w:sz w:val="18"/>
                <w:szCs w:val="18"/>
                <w:lang w:eastAsia="zh-TW"/>
              </w:rPr>
            </w:pPr>
          </w:p>
        </w:tc>
        <w:tc>
          <w:tcPr>
            <w:tcW w:w="1200" w:type="dxa"/>
            <w:shd w:val="clear" w:color="auto" w:fill="auto"/>
          </w:tcPr>
          <w:p>
            <w:pPr>
              <w:rPr>
                <w:rFonts w:ascii="Arial" w:hAnsi="Arial" w:eastAsia="PMingLiU" w:cs="Arial"/>
                <w:sz w:val="18"/>
                <w:szCs w:val="18"/>
                <w:lang w:eastAsia="zh-TW"/>
              </w:rPr>
            </w:pPr>
            <w:r>
              <w:rPr>
                <w:rFonts w:ascii="Arial" w:hAnsi="Arial" w:eastAsia="PMingLiU" w:cs="Arial"/>
                <w:sz w:val="18"/>
                <w:szCs w:val="18"/>
                <w:lang w:val="en-US" w:eastAsia="zh-TW"/>
              </w:rPr>
              <w:t>Support RRM requirements for handling dynamic collisions between a Pre-MG and another measurement gap or Pre-MG.</w:t>
            </w:r>
          </w:p>
        </w:tc>
        <w:tc>
          <w:tcPr>
            <w:tcW w:w="545" w:type="dxa"/>
            <w:shd w:val="clear" w:color="auto" w:fill="auto"/>
          </w:tcPr>
          <w:p>
            <w:pPr>
              <w:keepNext/>
              <w:keepLines/>
              <w:rPr>
                <w:rFonts w:ascii="Arial" w:hAnsi="Arial" w:eastAsia="PMingLiU" w:cs="Arial"/>
                <w:sz w:val="18"/>
                <w:szCs w:val="18"/>
                <w:lang w:eastAsia="zh-TW"/>
              </w:rPr>
            </w:pPr>
            <w:r>
              <w:rPr>
                <w:rFonts w:hint="eastAsia" w:ascii="Arial" w:hAnsi="Arial" w:eastAsia="PMingLiU" w:cs="Arial"/>
                <w:sz w:val="18"/>
                <w:szCs w:val="18"/>
                <w:lang w:eastAsia="zh-TW"/>
              </w:rPr>
              <w:t>3</w:t>
            </w:r>
            <w:r>
              <w:rPr>
                <w:rFonts w:ascii="Arial" w:hAnsi="Arial" w:eastAsia="PMingLiU" w:cs="Arial"/>
                <w:sz w:val="18"/>
                <w:szCs w:val="18"/>
                <w:lang w:eastAsia="zh-TW"/>
              </w:rPr>
              <w:t>2-1</w:t>
            </w:r>
          </w:p>
        </w:tc>
        <w:tc>
          <w:tcPr>
            <w:tcW w:w="576"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Y</w:t>
            </w:r>
            <w:r>
              <w:rPr>
                <w:rFonts w:ascii="Arial" w:hAnsi="Arial" w:eastAsia="PMingLiU" w:cs="Arial"/>
                <w:sz w:val="18"/>
                <w:szCs w:val="18"/>
                <w:lang w:eastAsia="zh-TW"/>
              </w:rPr>
              <w:t>es</w:t>
            </w:r>
          </w:p>
        </w:tc>
        <w:tc>
          <w:tcPr>
            <w:tcW w:w="589"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942" w:type="dxa"/>
          </w:tcPr>
          <w:p>
            <w:pPr>
              <w:keepNext/>
              <w:keepLines/>
              <w:rPr>
                <w:rFonts w:ascii="Arial" w:hAnsi="Arial" w:cs="Arial"/>
                <w:sz w:val="18"/>
                <w:szCs w:val="18"/>
              </w:rPr>
            </w:pPr>
            <w:r>
              <w:rPr>
                <w:rFonts w:ascii="Arial" w:hAnsi="Arial" w:eastAsia="PMingLiU" w:cs="Arial"/>
                <w:sz w:val="18"/>
                <w:szCs w:val="18"/>
                <w:lang w:eastAsia="zh-TW"/>
              </w:rPr>
              <w:t>UE is not expected to meet RRM requirements for dynamic collisions</w:t>
            </w:r>
          </w:p>
        </w:tc>
        <w:tc>
          <w:tcPr>
            <w:tcW w:w="388" w:type="dxa"/>
            <w:shd w:val="clear" w:color="auto" w:fill="auto"/>
          </w:tcPr>
          <w:p>
            <w:pPr>
              <w:keepNext/>
              <w:keepLines/>
              <w:rPr>
                <w:rFonts w:ascii="Arial" w:hAnsi="Arial" w:cs="Arial"/>
                <w:sz w:val="18"/>
                <w:szCs w:val="18"/>
              </w:rPr>
            </w:pPr>
            <w:r>
              <w:rPr>
                <w:rFonts w:ascii="Arial" w:hAnsi="Arial" w:eastAsia="PMingLiU" w:cs="Arial"/>
                <w:sz w:val="18"/>
                <w:szCs w:val="18"/>
                <w:lang w:eastAsia="zh-TW"/>
              </w:rPr>
              <w:t>Per UE</w:t>
            </w:r>
          </w:p>
        </w:tc>
        <w:tc>
          <w:tcPr>
            <w:tcW w:w="708"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708" w:type="dxa"/>
            <w:shd w:val="clear" w:color="auto" w:fill="auto"/>
          </w:tcPr>
          <w:p>
            <w:pPr>
              <w:keepNext/>
              <w:keepLines/>
              <w:rPr>
                <w:rFonts w:ascii="Arial" w:hAnsi="Arial" w:cs="Arial"/>
                <w:sz w:val="18"/>
                <w:szCs w:val="18"/>
              </w:rPr>
            </w:pPr>
            <w:r>
              <w:rPr>
                <w:rFonts w:hint="eastAsia" w:ascii="Arial" w:hAnsi="Arial" w:eastAsia="PMingLiU" w:cs="Arial"/>
                <w:sz w:val="18"/>
                <w:szCs w:val="18"/>
                <w:lang w:eastAsia="zh-TW"/>
              </w:rPr>
              <w:t>N</w:t>
            </w:r>
            <w:r>
              <w:rPr>
                <w:rFonts w:ascii="Arial" w:hAnsi="Arial" w:eastAsia="PMingLiU" w:cs="Arial"/>
                <w:sz w:val="18"/>
                <w:szCs w:val="18"/>
                <w:lang w:eastAsia="zh-TW"/>
              </w:rPr>
              <w:t>o</w:t>
            </w:r>
          </w:p>
        </w:tc>
        <w:tc>
          <w:tcPr>
            <w:tcW w:w="692" w:type="dxa"/>
          </w:tcPr>
          <w:p>
            <w:pPr>
              <w:keepNext/>
              <w:keepLines/>
              <w:rPr>
                <w:rFonts w:ascii="Arial" w:hAnsi="Arial" w:cs="Arial"/>
                <w:sz w:val="18"/>
                <w:szCs w:val="18"/>
              </w:rPr>
            </w:pPr>
            <w:r>
              <w:rPr>
                <w:rFonts w:ascii="Arial" w:hAnsi="Arial" w:cs="Arial"/>
                <w:sz w:val="18"/>
                <w:szCs w:val="18"/>
              </w:rPr>
              <w:t>N.A</w:t>
            </w:r>
          </w:p>
        </w:tc>
        <w:tc>
          <w:tcPr>
            <w:tcW w:w="380" w:type="dxa"/>
            <w:shd w:val="clear" w:color="auto" w:fill="auto"/>
          </w:tcPr>
          <w:p>
            <w:pPr>
              <w:keepNext/>
              <w:keepLines/>
              <w:rPr>
                <w:rFonts w:ascii="Arial" w:hAnsi="Arial" w:cs="Arial"/>
                <w:sz w:val="18"/>
                <w:szCs w:val="18"/>
              </w:rPr>
            </w:pPr>
          </w:p>
        </w:tc>
        <w:tc>
          <w:tcPr>
            <w:tcW w:w="909" w:type="dxa"/>
            <w:shd w:val="clear" w:color="auto" w:fill="auto"/>
          </w:tcPr>
          <w:p>
            <w:pPr>
              <w:keepNext/>
              <w:keepLines/>
              <w:rPr>
                <w:rFonts w:ascii="Arial" w:hAnsi="Arial" w:cs="Arial"/>
                <w:sz w:val="18"/>
                <w:szCs w:val="18"/>
              </w:rPr>
            </w:pPr>
            <w:r>
              <w:rPr>
                <w:rStyle w:val="54"/>
                <w:rFonts w:ascii="Arial" w:hAnsi="Arial" w:cs="Arial"/>
                <w:color w:val="000000"/>
                <w:sz w:val="18"/>
                <w:szCs w:val="18"/>
                <w:shd w:val="clear" w:color="auto" w:fill="FFFFFF"/>
              </w:rPr>
              <w:t>Optional with capability signalling</w:t>
            </w:r>
            <w:r>
              <w:rPr>
                <w:rStyle w:val="55"/>
                <w:rFonts w:ascii="Arial" w:hAnsi="Arial" w:cs="Arial"/>
                <w:color w:val="000000"/>
                <w:sz w:val="18"/>
                <w:szCs w:val="18"/>
                <w:shd w:val="clear" w:color="auto" w:fill="FFFFFF"/>
              </w:rPr>
              <w:t> </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Our view is that neither of the 32-2 and 32-3 is needed for Case 1. </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Since regarding 32-2, one of the activation/deactivation Pre-MG mechanism is event triggered. Under the event triggered mechanism, the activation/deactivation of two Pre-MGs are determined by related event respectively. So from the perspective of NW, so as to aviod the simultaneous activation/deactivation procedures of two Pre-MGs if the UE indicates not supporting 32-2, then the NW has to control the events such as SCell addition/activation, active BWP switching, to ensure not parallel activation/deactivation procedures of the two Pre-MGs would happen. Which would largely limit the flexibility of NW operation, and finally damage the system performance or throughput. Furthermore, some additional processing delay(2ms) has already been considered and decided during the simultaneous dual activation/deactivation of Pre-MGs procedures. So we can not see the necessity of 32-2.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Under the event triggered activation/deactivation of Pre-MG, it is possible that the events triggering simultaneous activation/deactivation of Pre-MG would happens since the dual Pre-MG activation/deactivation operates independently. To avoid the simultaneous events happening from NW side may damage the system performance or throughput.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Additional processing delay(2ms) has already been considered and decided for simultaneous dual activation/deactivation of Pre-MGs procedures.</w:t>
      </w:r>
    </w:p>
    <w:p>
      <w:pPr>
        <w:pStyle w:val="8"/>
        <w:rPr>
          <w:rFonts w:hint="eastAsia" w:eastAsia="宋体"/>
          <w:color w:val="auto"/>
          <w:sz w:val="20"/>
          <w:szCs w:val="20"/>
          <w:lang w:val="en-US" w:eastAsia="zh-CN"/>
        </w:rPr>
      </w:pPr>
      <w:r>
        <w:rPr>
          <w:rFonts w:hint="eastAsia" w:eastAsia="宋体"/>
          <w:color w:val="auto"/>
          <w:sz w:val="20"/>
          <w:szCs w:val="20"/>
          <w:lang w:val="en-US" w:eastAsia="zh-CN"/>
        </w:rPr>
        <w:t>With respect to 32-3, In 106 meeting, the definition of dynamic collision is determined as: Dynamic collisions are gap collisions involving at least one [activated] pre-configured MG, where gap instances of other MGs (which has lower priority) are dropped. Accordingly, the issue of whether a new UE capability for dynamic collision needed is discussed. To our understand, if the collision handling are same for the dynamic collision and non-dynamic collision, we can not see the necessity to introduce additional UE capability.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Not need to define 32-2 and 32-3, only introduce a general UE capability(32-1) for Case 1.</w:t>
      </w:r>
    </w:p>
    <w:p>
      <w:pPr>
        <w:pStyle w:val="8"/>
        <w:rPr>
          <w:rFonts w:hint="default" w:eastAsia="宋体" w:cs="Times New Roman"/>
          <w:b/>
          <w:bCs/>
          <w:color w:val="auto"/>
          <w:sz w:val="20"/>
          <w:szCs w:val="20"/>
          <w:highlight w:val="none"/>
          <w:lang w:val="en-US" w:eastAsia="zh-CN" w:bidi="ar-SA"/>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partially overlapping between multiple Pre-MG activation/deactivation procedures has been decided to not consider any more.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Scenario 4, directly apply the agreements decided for the fully simultaneous multiple Pre-MG activation/deactivation is fine, no need to touch the agreements for dynamic collision of Scenario 1/2/3, i.e.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new status of two Pre-MG are applied after the extended T1;</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dropping rule is only applicable for the activated status of Pre-MG.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case that Pre-MG1 is deactivated whereas the associated MO still has to be performed with MG is corner case.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Under the event triggered activation/deactivation of Pre-MG, it is possible that the events triggering simultaneous activation/deactivation of Pre-MG would happens since the dual Pre-MG activation/deactivation operates independently. To avoid the simultaneous events happening from NW side may damage the system performance or throughput.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Additional processing delay(2ms) has already been considered and decided for simultaneous dual activation/deactivation of Pre-MGs procedures.</w:t>
      </w:r>
    </w:p>
    <w:p>
      <w:pPr>
        <w:pStyle w:val="8"/>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3: Not need to define 32-2 and 32-3, only introduce a general UE capability(32-1) for Case 1.</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R4-2403542 </w:t>
      </w:r>
      <w:r>
        <w:rPr>
          <w:rFonts w:hint="default"/>
          <w:color w:val="auto"/>
          <w:highlight w:val="none"/>
          <w:lang w:val="en-US" w:eastAsia="zh-CN"/>
        </w:rPr>
        <w:t>“</w:t>
      </w:r>
      <w:r>
        <w:rPr>
          <w:rFonts w:hint="eastAsia"/>
          <w:color w:val="auto"/>
          <w:highlight w:val="none"/>
          <w:lang w:val="en-US" w:eastAsia="zh-CN"/>
        </w:rPr>
        <w:t>WF on NR_MG_enh2_part1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Gulim">
    <w:panose1 w:val="020B0600000101010101"/>
    <w:charset w:val="81"/>
    <w:family w:val="swiss"/>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BC56E21"/>
    <w:multiLevelType w:val="singleLevel"/>
    <w:tmpl w:val="2BC56E21"/>
    <w:lvl w:ilvl="0" w:tentative="0">
      <w:start w:val="1"/>
      <w:numFmt w:val="decimal"/>
      <w:suff w:val="space"/>
      <w:lvlText w:val="[%1]"/>
      <w:lvlJc w:val="left"/>
    </w:lvl>
  </w:abstractNum>
  <w:abstractNum w:abstractNumId="2">
    <w:nsid w:val="3AC2565E"/>
    <w:multiLevelType w:val="multilevel"/>
    <w:tmpl w:val="3AC2565E"/>
    <w:lvl w:ilvl="0" w:tentative="0">
      <w:start w:val="1"/>
      <w:numFmt w:val="bullet"/>
      <w:lvlText w:val=""/>
      <w:lvlJc w:val="left"/>
      <w:pPr>
        <w:ind w:left="764" w:hanging="480"/>
      </w:pPr>
      <w:rPr>
        <w:rFonts w:hint="default" w:ascii="Wingdings" w:hAnsi="Wingdings"/>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0E800A1"/>
    <w:multiLevelType w:val="singleLevel"/>
    <w:tmpl w:val="60E800A1"/>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78F723E"/>
    <w:rsid w:val="180A6E32"/>
    <w:rsid w:val="183F2CD2"/>
    <w:rsid w:val="1856323E"/>
    <w:rsid w:val="18741463"/>
    <w:rsid w:val="187C52B1"/>
    <w:rsid w:val="18AF55E3"/>
    <w:rsid w:val="18B1519A"/>
    <w:rsid w:val="18CD0507"/>
    <w:rsid w:val="195D7D48"/>
    <w:rsid w:val="1AB37CA1"/>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442FFE"/>
    <w:rsid w:val="29642C4B"/>
    <w:rsid w:val="2A34628C"/>
    <w:rsid w:val="2A724D05"/>
    <w:rsid w:val="2A7E505C"/>
    <w:rsid w:val="2AC85686"/>
    <w:rsid w:val="2AD04B5F"/>
    <w:rsid w:val="2B151188"/>
    <w:rsid w:val="2B272BDA"/>
    <w:rsid w:val="2B39549B"/>
    <w:rsid w:val="2BC05B2C"/>
    <w:rsid w:val="2BD617C5"/>
    <w:rsid w:val="2C112837"/>
    <w:rsid w:val="2C55584A"/>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3F00CEC"/>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E791E33"/>
    <w:rsid w:val="3F98373C"/>
    <w:rsid w:val="40441BC5"/>
    <w:rsid w:val="405A254B"/>
    <w:rsid w:val="405F175E"/>
    <w:rsid w:val="40C765F3"/>
    <w:rsid w:val="41102B04"/>
    <w:rsid w:val="413B767D"/>
    <w:rsid w:val="42F869D2"/>
    <w:rsid w:val="43553536"/>
    <w:rsid w:val="44494D55"/>
    <w:rsid w:val="44556C28"/>
    <w:rsid w:val="44972678"/>
    <w:rsid w:val="451632B9"/>
    <w:rsid w:val="458D1C2C"/>
    <w:rsid w:val="45906394"/>
    <w:rsid w:val="45F60A50"/>
    <w:rsid w:val="460F047E"/>
    <w:rsid w:val="46142D0C"/>
    <w:rsid w:val="46970A81"/>
    <w:rsid w:val="46B036BF"/>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700ACD"/>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967AD9"/>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2024-04-08T13:04:11Z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